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011C77" w:rsidTr="00011C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11C77">
              <w:tc>
                <w:tcPr>
                  <w:tcW w:w="0" w:type="auto"/>
                  <w:tcMar>
                    <w:top w:w="150" w:type="dxa"/>
                    <w:left w:w="300" w:type="dxa"/>
                    <w:bottom w:w="150" w:type="dxa"/>
                    <w:right w:w="300" w:type="dxa"/>
                  </w:tcMar>
                  <w:hideMark/>
                </w:tcPr>
                <w:p w:rsidR="00011C77" w:rsidRDefault="00011C77">
                  <w:pPr>
                    <w:jc w:val="center"/>
                    <w:rPr>
                      <w:rFonts w:ascii="Helvetica" w:hAnsi="Helvetica" w:cs="Helvetica"/>
                      <w:color w:val="3255A4"/>
                      <w:sz w:val="48"/>
                      <w:szCs w:val="48"/>
                    </w:rPr>
                  </w:pPr>
                  <w:r>
                    <w:rPr>
                      <w:rFonts w:ascii="Century Gothic" w:hAnsi="Century Gothic"/>
                      <w:b/>
                      <w:bCs/>
                      <w:color w:val="3255A4"/>
                      <w:sz w:val="48"/>
                      <w:szCs w:val="48"/>
                    </w:rPr>
                    <w:t xml:space="preserve">Important Cybersecurity Reminder </w:t>
                  </w:r>
                  <w:r>
                    <w:rPr>
                      <w:rFonts w:ascii="Century Gothic" w:hAnsi="Century Gothic"/>
                      <w:color w:val="3255A4"/>
                      <w:sz w:val="48"/>
                      <w:szCs w:val="48"/>
                    </w:rPr>
                    <w:t>Scams Related to COVID-19 </w:t>
                  </w:r>
                  <w:r>
                    <w:rPr>
                      <w:rFonts w:ascii="Helvetica" w:hAnsi="Helvetica" w:cs="Helvetica"/>
                      <w:color w:val="3255A4"/>
                      <w:sz w:val="48"/>
                      <w:szCs w:val="48"/>
                    </w:rPr>
                    <w:t xml:space="preserve"> </w:t>
                  </w:r>
                </w:p>
              </w:tc>
            </w:tr>
          </w:tbl>
          <w:p w:rsidR="00011C77" w:rsidRDefault="00011C77">
            <w:pPr>
              <w:rPr>
                <w:rFonts w:ascii="Times New Roman" w:eastAsia="Times New Roman" w:hAnsi="Times New Roman" w:cs="Times New Roman"/>
                <w:sz w:val="20"/>
                <w:szCs w:val="20"/>
              </w:rPr>
            </w:pPr>
          </w:p>
        </w:tc>
      </w:tr>
    </w:tbl>
    <w:p w:rsidR="00011C77" w:rsidRDefault="00011C77" w:rsidP="00011C77">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011C77" w:rsidTr="00011C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011C77">
              <w:tc>
                <w:tcPr>
                  <w:tcW w:w="0" w:type="auto"/>
                  <w:tcMar>
                    <w:top w:w="150" w:type="dxa"/>
                    <w:left w:w="300" w:type="dxa"/>
                    <w:bottom w:w="150" w:type="dxa"/>
                    <w:right w:w="300" w:type="dxa"/>
                  </w:tcMar>
                </w:tcPr>
                <w:p w:rsidR="00011C77" w:rsidRDefault="00011C77">
                  <w:pPr>
                    <w:rPr>
                      <w:rFonts w:ascii="Helvetica" w:hAnsi="Helvetica" w:cs="Helvetica"/>
                      <w:color w:val="545455"/>
                      <w:sz w:val="21"/>
                      <w:szCs w:val="21"/>
                    </w:rPr>
                  </w:pPr>
                  <w:r>
                    <w:rPr>
                      <w:rFonts w:ascii="Century Gothic" w:hAnsi="Century Gothic"/>
                      <w:color w:val="545455"/>
                      <w:sz w:val="24"/>
                      <w:szCs w:val="24"/>
                    </w:rPr>
                    <w:t xml:space="preserve">Reports of scammers leveraging the COVID-19 pandemic to steal money and personal information (or both) have recently come in to the FBI and other law enforcement agencies. You can help protect yourself by doing some research before clicking on links in your emails and not opening emails from addresses that you do not recognize. </w:t>
                  </w:r>
                </w:p>
                <w:p w:rsidR="00011C77" w:rsidRDefault="00011C77">
                  <w:pPr>
                    <w:rPr>
                      <w:rFonts w:ascii="Helvetica" w:hAnsi="Helvetica" w:cs="Helvetica"/>
                      <w:color w:val="545455"/>
                      <w:sz w:val="21"/>
                      <w:szCs w:val="21"/>
                    </w:rPr>
                  </w:pPr>
                </w:p>
                <w:p w:rsidR="00011C77" w:rsidRDefault="00011C77">
                  <w:pPr>
                    <w:rPr>
                      <w:rFonts w:ascii="Helvetica" w:hAnsi="Helvetica" w:cs="Helvetica"/>
                      <w:color w:val="545455"/>
                      <w:sz w:val="21"/>
                      <w:szCs w:val="21"/>
                    </w:rPr>
                  </w:pPr>
                  <w:r>
                    <w:rPr>
                      <w:rFonts w:ascii="Century Gothic" w:hAnsi="Century Gothic"/>
                      <w:color w:val="545455"/>
                      <w:sz w:val="24"/>
                      <w:szCs w:val="24"/>
                    </w:rPr>
                    <w:t>Take extra precautions before:</w:t>
                  </w:r>
                </w:p>
                <w:p w:rsidR="00011C77" w:rsidRDefault="00011C77">
                  <w:pPr>
                    <w:rPr>
                      <w:rFonts w:ascii="Helvetica" w:hAnsi="Helvetica" w:cs="Helvetica"/>
                      <w:color w:val="545455"/>
                      <w:sz w:val="21"/>
                      <w:szCs w:val="21"/>
                    </w:rPr>
                  </w:pPr>
                </w:p>
                <w:p w:rsidR="00011C77" w:rsidRDefault="00011C77" w:rsidP="00E72A71">
                  <w:pPr>
                    <w:numPr>
                      <w:ilvl w:val="0"/>
                      <w:numId w:val="1"/>
                    </w:numPr>
                    <w:ind w:left="600" w:hanging="240"/>
                    <w:rPr>
                      <w:rFonts w:ascii="Helvetica" w:hAnsi="Helvetica" w:cs="Helvetica"/>
                      <w:color w:val="545455"/>
                      <w:sz w:val="24"/>
                      <w:szCs w:val="24"/>
                    </w:rPr>
                  </w:pPr>
                  <w:r>
                    <w:rPr>
                      <w:rFonts w:ascii="Century Gothic" w:hAnsi="Century Gothic"/>
                      <w:color w:val="545455"/>
                      <w:sz w:val="24"/>
                      <w:szCs w:val="24"/>
                    </w:rPr>
                    <w:t xml:space="preserve">Donating to a charity online or through social media. </w:t>
                  </w:r>
                </w:p>
                <w:p w:rsidR="00011C77" w:rsidRDefault="00011C77" w:rsidP="00E72A71">
                  <w:pPr>
                    <w:numPr>
                      <w:ilvl w:val="0"/>
                      <w:numId w:val="1"/>
                    </w:numPr>
                    <w:ind w:left="600" w:hanging="240"/>
                    <w:rPr>
                      <w:rFonts w:ascii="Helvetica" w:hAnsi="Helvetica" w:cs="Helvetica"/>
                      <w:color w:val="545455"/>
                      <w:sz w:val="24"/>
                      <w:szCs w:val="24"/>
                    </w:rPr>
                  </w:pPr>
                  <w:r>
                    <w:rPr>
                      <w:rFonts w:ascii="Century Gothic" w:hAnsi="Century Gothic"/>
                      <w:color w:val="545455"/>
                      <w:sz w:val="24"/>
                      <w:szCs w:val="24"/>
                    </w:rPr>
                    <w:t xml:space="preserve">Contributing to a crowdfunding campaign. </w:t>
                  </w:r>
                </w:p>
                <w:p w:rsidR="00011C77" w:rsidRDefault="00011C77" w:rsidP="00E72A71">
                  <w:pPr>
                    <w:numPr>
                      <w:ilvl w:val="0"/>
                      <w:numId w:val="1"/>
                    </w:numPr>
                    <w:ind w:left="600" w:hanging="240"/>
                    <w:rPr>
                      <w:rFonts w:ascii="Helvetica" w:hAnsi="Helvetica" w:cs="Helvetica"/>
                      <w:color w:val="545455"/>
                      <w:sz w:val="24"/>
                      <w:szCs w:val="24"/>
                    </w:rPr>
                  </w:pPr>
                  <w:r>
                    <w:rPr>
                      <w:rFonts w:ascii="Century Gothic" w:hAnsi="Century Gothic"/>
                      <w:color w:val="545455"/>
                      <w:sz w:val="24"/>
                      <w:szCs w:val="24"/>
                    </w:rPr>
                    <w:t>Purchasing products online, especially products that claim to prevent, treat, diagnose, or cure COVID-19; or Personal Protective Equipment (PPE) and sanitizing products, as counterfeit products have been reported.</w:t>
                  </w:r>
                </w:p>
                <w:p w:rsidR="00011C77" w:rsidRDefault="00011C77" w:rsidP="00E72A71">
                  <w:pPr>
                    <w:numPr>
                      <w:ilvl w:val="0"/>
                      <w:numId w:val="1"/>
                    </w:numPr>
                    <w:ind w:left="600" w:hanging="240"/>
                    <w:rPr>
                      <w:rFonts w:ascii="Helvetica" w:hAnsi="Helvetica" w:cs="Helvetica"/>
                      <w:color w:val="545455"/>
                      <w:sz w:val="24"/>
                      <w:szCs w:val="24"/>
                    </w:rPr>
                  </w:pPr>
                  <w:r>
                    <w:rPr>
                      <w:rFonts w:ascii="Century Gothic" w:hAnsi="Century Gothic"/>
                      <w:color w:val="545455"/>
                      <w:sz w:val="24"/>
                      <w:szCs w:val="24"/>
                    </w:rPr>
                    <w:t xml:space="preserve">Giving up your personal information to receive money or other benefits. </w:t>
                  </w:r>
                </w:p>
                <w:p w:rsidR="00011C77" w:rsidRDefault="00011C77" w:rsidP="00E72A71">
                  <w:pPr>
                    <w:numPr>
                      <w:ilvl w:val="0"/>
                      <w:numId w:val="1"/>
                    </w:numPr>
                    <w:ind w:left="600" w:hanging="240"/>
                    <w:rPr>
                      <w:rFonts w:ascii="Helvetica" w:hAnsi="Helvetica" w:cs="Helvetica"/>
                      <w:color w:val="545455"/>
                      <w:sz w:val="24"/>
                      <w:szCs w:val="24"/>
                    </w:rPr>
                  </w:pPr>
                  <w:r>
                    <w:rPr>
                      <w:rFonts w:ascii="Century Gothic" w:hAnsi="Century Gothic"/>
                      <w:color w:val="545455"/>
                      <w:sz w:val="24"/>
                      <w:szCs w:val="24"/>
                    </w:rPr>
                    <w:t>Opening websites, emails or apps claiming to provide information on the virus or track COVID-19 cases worldwide.</w:t>
                  </w:r>
                </w:p>
                <w:p w:rsidR="00011C77" w:rsidRDefault="00011C77" w:rsidP="00E72A71">
                  <w:pPr>
                    <w:numPr>
                      <w:ilvl w:val="0"/>
                      <w:numId w:val="1"/>
                    </w:numPr>
                    <w:ind w:left="600" w:hanging="240"/>
                    <w:rPr>
                      <w:rFonts w:ascii="Helvetica" w:hAnsi="Helvetica" w:cs="Helvetica"/>
                      <w:color w:val="545455"/>
                      <w:sz w:val="24"/>
                      <w:szCs w:val="24"/>
                    </w:rPr>
                  </w:pPr>
                  <w:r>
                    <w:rPr>
                      <w:rFonts w:ascii="Century Gothic" w:hAnsi="Century Gothic"/>
                      <w:color w:val="545455"/>
                      <w:sz w:val="24"/>
                      <w:szCs w:val="24"/>
                    </w:rPr>
                    <w:t>Opening emails asking you to verify your personal information to receive an economic stimulus check from the government.</w:t>
                  </w:r>
                </w:p>
                <w:p w:rsidR="00011C77" w:rsidRDefault="00011C77">
                  <w:pPr>
                    <w:rPr>
                      <w:rFonts w:ascii="Helvetica" w:hAnsi="Helvetica" w:cs="Helvetica"/>
                      <w:color w:val="545455"/>
                      <w:sz w:val="21"/>
                      <w:szCs w:val="21"/>
                    </w:rPr>
                  </w:pPr>
                </w:p>
                <w:p w:rsidR="00011C77" w:rsidRDefault="00011C77">
                  <w:pPr>
                    <w:rPr>
                      <w:rFonts w:ascii="Helvetica" w:hAnsi="Helvetica" w:cs="Helvetica"/>
                      <w:color w:val="545455"/>
                      <w:sz w:val="21"/>
                      <w:szCs w:val="21"/>
                    </w:rPr>
                  </w:pPr>
                  <w:r>
                    <w:rPr>
                      <w:rFonts w:ascii="Century Gothic" w:hAnsi="Century Gothic"/>
                      <w:color w:val="545455"/>
                      <w:sz w:val="24"/>
                      <w:szCs w:val="24"/>
                    </w:rPr>
                    <w:t xml:space="preserve">Visit </w:t>
                  </w:r>
                  <w:hyperlink r:id="rId5" w:tgtFrame="_blank" w:history="1">
                    <w:r>
                      <w:rPr>
                        <w:rStyle w:val="Hyperlink"/>
                        <w:rFonts w:ascii="Century Gothic" w:hAnsi="Century Gothic" w:cs="Helvetica"/>
                        <w:b/>
                        <w:bCs/>
                        <w:color w:val="3255A4"/>
                        <w:sz w:val="24"/>
                        <w:szCs w:val="24"/>
                      </w:rPr>
                      <w:t>www.cdc.gov/niosh</w:t>
                    </w:r>
                  </w:hyperlink>
                  <w:r>
                    <w:rPr>
                      <w:rFonts w:ascii="Century Gothic" w:hAnsi="Century Gothic"/>
                      <w:color w:val="545455"/>
                      <w:sz w:val="24"/>
                      <w:szCs w:val="24"/>
                    </w:rPr>
                    <w:t xml:space="preserve">, </w:t>
                  </w:r>
                  <w:hyperlink r:id="rId6" w:tgtFrame="_blank" w:history="1">
                    <w:r>
                      <w:rPr>
                        <w:rStyle w:val="Hyperlink"/>
                        <w:rFonts w:ascii="Century Gothic" w:hAnsi="Century Gothic" w:cs="Helvetica"/>
                        <w:b/>
                        <w:bCs/>
                        <w:color w:val="3255A4"/>
                        <w:sz w:val="24"/>
                        <w:szCs w:val="24"/>
                      </w:rPr>
                      <w:t>www.fda.gov</w:t>
                    </w:r>
                  </w:hyperlink>
                  <w:r>
                    <w:rPr>
                      <w:rFonts w:ascii="Century Gothic" w:hAnsi="Century Gothic"/>
                      <w:color w:val="545455"/>
                      <w:sz w:val="24"/>
                      <w:szCs w:val="24"/>
                    </w:rPr>
                    <w:t xml:space="preserve"> or </w:t>
                  </w:r>
                  <w:hyperlink r:id="rId7" w:tgtFrame="_blank" w:history="1">
                    <w:r>
                      <w:rPr>
                        <w:rStyle w:val="Hyperlink"/>
                        <w:rFonts w:ascii="Century Gothic" w:hAnsi="Century Gothic" w:cs="Helvetica"/>
                        <w:b/>
                        <w:bCs/>
                        <w:color w:val="3255A4"/>
                        <w:sz w:val="24"/>
                        <w:szCs w:val="24"/>
                      </w:rPr>
                      <w:t>www.epa.gov</w:t>
                    </w:r>
                  </w:hyperlink>
                  <w:r>
                    <w:rPr>
                      <w:rFonts w:ascii="Century Gothic" w:hAnsi="Century Gothic"/>
                      <w:color w:val="545455"/>
                      <w:sz w:val="24"/>
                      <w:szCs w:val="24"/>
                    </w:rPr>
                    <w:t xml:space="preserve"> for information on unapproved or counterfeit PPE. </w:t>
                  </w:r>
                </w:p>
                <w:p w:rsidR="00011C77" w:rsidRDefault="00011C77">
                  <w:pPr>
                    <w:rPr>
                      <w:rFonts w:ascii="Helvetica" w:hAnsi="Helvetica" w:cs="Helvetica"/>
                      <w:color w:val="545455"/>
                      <w:sz w:val="21"/>
                      <w:szCs w:val="21"/>
                    </w:rPr>
                  </w:pPr>
                </w:p>
                <w:p w:rsidR="00011C77" w:rsidRDefault="00011C77">
                  <w:pPr>
                    <w:rPr>
                      <w:rFonts w:ascii="Helvetica" w:hAnsi="Helvetica" w:cs="Helvetica"/>
                      <w:color w:val="545455"/>
                      <w:sz w:val="21"/>
                      <w:szCs w:val="21"/>
                    </w:rPr>
                  </w:pPr>
                  <w:r>
                    <w:rPr>
                      <w:rFonts w:ascii="Century Gothic" w:hAnsi="Century Gothic"/>
                      <w:color w:val="545455"/>
                      <w:sz w:val="24"/>
                      <w:szCs w:val="24"/>
                    </w:rPr>
                    <w:t>Counterfeit products can be reported at the FBI Internet Crime Complaint Center at </w:t>
                  </w:r>
                  <w:hyperlink r:id="rId8" w:tgtFrame="_blank" w:history="1">
                    <w:r>
                      <w:rPr>
                        <w:rStyle w:val="Hyperlink"/>
                        <w:rFonts w:ascii="Century Gothic" w:hAnsi="Century Gothic" w:cs="Helvetica"/>
                        <w:b/>
                        <w:bCs/>
                        <w:color w:val="3255A4"/>
                        <w:sz w:val="24"/>
                        <w:szCs w:val="24"/>
                      </w:rPr>
                      <w:t>www.ic3.gov</w:t>
                    </w:r>
                  </w:hyperlink>
                  <w:r>
                    <w:rPr>
                      <w:rFonts w:ascii="Century Gothic" w:hAnsi="Century Gothic"/>
                      <w:color w:val="545455"/>
                      <w:sz w:val="24"/>
                      <w:szCs w:val="24"/>
                    </w:rPr>
                    <w:t xml:space="preserve"> and to the National Intellectual Property Rights Coordination at </w:t>
                  </w:r>
                  <w:hyperlink r:id="rId9" w:tgtFrame="_blank" w:history="1">
                    <w:r>
                      <w:rPr>
                        <w:rStyle w:val="Hyperlink"/>
                        <w:rFonts w:ascii="Century Gothic" w:hAnsi="Century Gothic" w:cs="Helvetica"/>
                        <w:b/>
                        <w:bCs/>
                        <w:color w:val="3255A4"/>
                        <w:sz w:val="24"/>
                        <w:szCs w:val="24"/>
                      </w:rPr>
                      <w:t>iprcenter.gov</w:t>
                    </w:r>
                  </w:hyperlink>
                  <w:r>
                    <w:rPr>
                      <w:rFonts w:ascii="Century Gothic" w:hAnsi="Century Gothic"/>
                      <w:color w:val="545455"/>
                      <w:sz w:val="24"/>
                      <w:szCs w:val="24"/>
                    </w:rPr>
                    <w:t>.</w:t>
                  </w:r>
                  <w:r>
                    <w:rPr>
                      <w:rFonts w:ascii="Helvetica" w:hAnsi="Helvetica" w:cs="Helvetica"/>
                      <w:color w:val="545455"/>
                      <w:sz w:val="21"/>
                      <w:szCs w:val="21"/>
                    </w:rPr>
                    <w:t xml:space="preserve"> </w:t>
                  </w:r>
                </w:p>
              </w:tc>
            </w:tr>
          </w:tbl>
          <w:p w:rsidR="00011C77" w:rsidRDefault="00011C77">
            <w:pPr>
              <w:rPr>
                <w:rFonts w:ascii="Times New Roman" w:eastAsia="Times New Roman" w:hAnsi="Times New Roman" w:cs="Times New Roman"/>
                <w:sz w:val="20"/>
                <w:szCs w:val="20"/>
              </w:rPr>
            </w:pPr>
          </w:p>
        </w:tc>
      </w:tr>
    </w:tbl>
    <w:p w:rsidR="00011C77" w:rsidRDefault="00011C77">
      <w:r>
        <w:br w:type="page"/>
      </w:r>
    </w:p>
    <w:p w:rsidR="0028352B" w:rsidRDefault="00011C77">
      <w:r>
        <w:rPr>
          <w:noProof/>
        </w:rPr>
        <w:lastRenderedPageBreak/>
        <w:drawing>
          <wp:inline distT="0" distB="0" distL="0" distR="0" wp14:anchorId="532EDD6B" wp14:editId="20DA3010">
            <wp:extent cx="1676400" cy="1352550"/>
            <wp:effectExtent l="0" t="0" r="0" b="0"/>
            <wp:docPr id="1" name="Picture 1" descr="Image result for florida power and l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rida power and ligh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352550"/>
                    </a:xfrm>
                    <a:prstGeom prst="rect">
                      <a:avLst/>
                    </a:prstGeom>
                    <a:noFill/>
                    <a:ln>
                      <a:noFill/>
                    </a:ln>
                  </pic:spPr>
                </pic:pic>
              </a:graphicData>
            </a:graphic>
          </wp:inline>
        </w:drawing>
      </w:r>
    </w:p>
    <w:p w:rsidR="00011C77" w:rsidRDefault="00011C77" w:rsidP="00011C77">
      <w:pPr>
        <w:rPr>
          <w:i/>
          <w:iCs/>
          <w:color w:val="17365D"/>
          <w:sz w:val="24"/>
          <w:szCs w:val="24"/>
        </w:rPr>
      </w:pPr>
    </w:p>
    <w:p w:rsidR="00011C77" w:rsidRDefault="00011C77" w:rsidP="00011C77">
      <w:pPr>
        <w:rPr>
          <w:i/>
          <w:iCs/>
          <w:color w:val="17365D"/>
          <w:sz w:val="24"/>
          <w:szCs w:val="24"/>
        </w:rPr>
      </w:pPr>
      <w:bookmarkStart w:id="0" w:name="_GoBack"/>
      <w:bookmarkEnd w:id="0"/>
      <w:r>
        <w:rPr>
          <w:i/>
          <w:iCs/>
          <w:color w:val="17365D"/>
          <w:sz w:val="24"/>
          <w:szCs w:val="24"/>
        </w:rPr>
        <w:t xml:space="preserve">We know this a difficult and unsettling time and as Floridians, neighbors, friends and family, we are in this together. If customers are experiencing hardship as a result of COVID-19, FPL has resources available at </w:t>
      </w:r>
      <w:hyperlink r:id="rId11" w:history="1">
        <w:r>
          <w:rPr>
            <w:rStyle w:val="Hyperlink"/>
            <w:i/>
            <w:iCs/>
            <w:sz w:val="24"/>
            <w:szCs w:val="24"/>
          </w:rPr>
          <w:t>www.FPL.com/Help</w:t>
        </w:r>
      </w:hyperlink>
      <w:r>
        <w:rPr>
          <w:i/>
          <w:iCs/>
          <w:color w:val="17365D"/>
          <w:sz w:val="24"/>
          <w:szCs w:val="24"/>
        </w:rPr>
        <w:t>, in addition to those available from federal, state and local authorities.</w:t>
      </w:r>
    </w:p>
    <w:p w:rsidR="00011C77" w:rsidRDefault="00011C77" w:rsidP="00011C77">
      <w:pPr>
        <w:rPr>
          <w:i/>
          <w:iCs/>
          <w:color w:val="17365D"/>
          <w:sz w:val="24"/>
          <w:szCs w:val="24"/>
        </w:rPr>
      </w:pPr>
    </w:p>
    <w:p w:rsidR="00011C77" w:rsidRDefault="00011C77" w:rsidP="00011C77">
      <w:pPr>
        <w:rPr>
          <w:i/>
          <w:iCs/>
          <w:color w:val="17365D"/>
          <w:sz w:val="24"/>
          <w:szCs w:val="24"/>
        </w:rPr>
      </w:pPr>
      <w:r>
        <w:rPr>
          <w:i/>
          <w:iCs/>
          <w:color w:val="17365D"/>
          <w:sz w:val="24"/>
          <w:szCs w:val="24"/>
        </w:rPr>
        <w:t>We have also implemented the same policies that we do during major crisis events, which include:</w:t>
      </w:r>
    </w:p>
    <w:p w:rsidR="00011C77" w:rsidRDefault="00011C77" w:rsidP="00011C77">
      <w:pPr>
        <w:numPr>
          <w:ilvl w:val="0"/>
          <w:numId w:val="2"/>
        </w:numPr>
        <w:rPr>
          <w:rFonts w:eastAsia="Times New Roman"/>
          <w:i/>
          <w:iCs/>
          <w:color w:val="17365D"/>
          <w:sz w:val="24"/>
          <w:szCs w:val="24"/>
        </w:rPr>
      </w:pPr>
      <w:r>
        <w:rPr>
          <w:rFonts w:eastAsia="Times New Roman"/>
          <w:i/>
          <w:iCs/>
          <w:color w:val="17365D"/>
          <w:sz w:val="24"/>
          <w:szCs w:val="24"/>
        </w:rPr>
        <w:t>Suspending electrical disconnections</w:t>
      </w:r>
    </w:p>
    <w:p w:rsidR="00011C77" w:rsidRDefault="00011C77" w:rsidP="00011C77">
      <w:pPr>
        <w:numPr>
          <w:ilvl w:val="0"/>
          <w:numId w:val="2"/>
        </w:numPr>
        <w:rPr>
          <w:rFonts w:eastAsia="Times New Roman"/>
          <w:i/>
          <w:iCs/>
          <w:color w:val="17365D"/>
          <w:sz w:val="24"/>
          <w:szCs w:val="24"/>
        </w:rPr>
      </w:pPr>
      <w:r>
        <w:rPr>
          <w:rFonts w:eastAsia="Times New Roman"/>
          <w:i/>
          <w:iCs/>
          <w:color w:val="17365D"/>
          <w:sz w:val="24"/>
          <w:szCs w:val="24"/>
        </w:rPr>
        <w:t>Providing payment extensions</w:t>
      </w:r>
    </w:p>
    <w:p w:rsidR="00011C77" w:rsidRDefault="00011C77" w:rsidP="00011C77">
      <w:pPr>
        <w:numPr>
          <w:ilvl w:val="0"/>
          <w:numId w:val="2"/>
        </w:numPr>
        <w:rPr>
          <w:rFonts w:eastAsia="Times New Roman"/>
          <w:i/>
          <w:iCs/>
          <w:color w:val="17365D"/>
          <w:sz w:val="24"/>
          <w:szCs w:val="24"/>
        </w:rPr>
      </w:pPr>
      <w:r>
        <w:rPr>
          <w:rFonts w:eastAsia="Times New Roman"/>
          <w:i/>
          <w:iCs/>
          <w:color w:val="17365D"/>
          <w:sz w:val="24"/>
          <w:szCs w:val="24"/>
        </w:rPr>
        <w:t>Waiving certain late payment fees for customers in a hardship situation</w:t>
      </w:r>
    </w:p>
    <w:p w:rsidR="00011C77" w:rsidRDefault="00011C77" w:rsidP="00011C77">
      <w:pPr>
        <w:rPr>
          <w:i/>
          <w:iCs/>
          <w:color w:val="17365D"/>
          <w:sz w:val="24"/>
          <w:szCs w:val="24"/>
        </w:rPr>
      </w:pPr>
    </w:p>
    <w:p w:rsidR="00011C77" w:rsidRDefault="00011C77" w:rsidP="00011C77">
      <w:pPr>
        <w:rPr>
          <w:i/>
          <w:iCs/>
          <w:color w:val="17365D"/>
          <w:sz w:val="24"/>
          <w:szCs w:val="24"/>
        </w:rPr>
      </w:pPr>
      <w:r>
        <w:rPr>
          <w:i/>
          <w:iCs/>
          <w:color w:val="17365D"/>
          <w:sz w:val="24"/>
          <w:szCs w:val="24"/>
        </w:rPr>
        <w:t xml:space="preserve">FPL is also supporting communities throughout the state through our charitable foundation. For those who can afford or want to help others who may need assistance, they can make a donation to our </w:t>
      </w:r>
      <w:hyperlink r:id="rId12" w:history="1">
        <w:r>
          <w:rPr>
            <w:rStyle w:val="Hyperlink"/>
            <w:i/>
            <w:iCs/>
            <w:sz w:val="24"/>
            <w:szCs w:val="24"/>
          </w:rPr>
          <w:t>‘Care to Share’</w:t>
        </w:r>
      </w:hyperlink>
      <w:r>
        <w:rPr>
          <w:i/>
          <w:iCs/>
          <w:color w:val="17365D"/>
          <w:sz w:val="24"/>
          <w:szCs w:val="24"/>
        </w:rPr>
        <w:t xml:space="preserve"> program. All contributions are distributed to the communities that we serve through a network of nonprofit human-service agencies, and there are no administrative fees.</w:t>
      </w:r>
    </w:p>
    <w:p w:rsidR="00011C77" w:rsidRDefault="00011C77"/>
    <w:sectPr w:rsidR="0001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E167B"/>
    <w:multiLevelType w:val="multilevel"/>
    <w:tmpl w:val="458C8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ED03B7"/>
    <w:multiLevelType w:val="hybridMultilevel"/>
    <w:tmpl w:val="4348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77"/>
    <w:rsid w:val="00011C77"/>
    <w:rsid w:val="0028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66B13-E947-4C2C-8504-BB0C1F40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77"/>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59676">
      <w:bodyDiv w:val="1"/>
      <w:marLeft w:val="0"/>
      <w:marRight w:val="0"/>
      <w:marTop w:val="0"/>
      <w:marBottom w:val="0"/>
      <w:divBdr>
        <w:top w:val="none" w:sz="0" w:space="0" w:color="auto"/>
        <w:left w:val="none" w:sz="0" w:space="0" w:color="auto"/>
        <w:bottom w:val="none" w:sz="0" w:space="0" w:color="auto"/>
        <w:right w:val="none" w:sz="0" w:space="0" w:color="auto"/>
      </w:divBdr>
    </w:div>
    <w:div w:id="1046418450">
      <w:bodyDiv w:val="1"/>
      <w:marLeft w:val="0"/>
      <w:marRight w:val="0"/>
      <w:marTop w:val="0"/>
      <w:marBottom w:val="0"/>
      <w:divBdr>
        <w:top w:val="none" w:sz="0" w:space="0" w:color="auto"/>
        <w:left w:val="none" w:sz="0" w:space="0" w:color="auto"/>
        <w:bottom w:val="none" w:sz="0" w:space="0" w:color="auto"/>
        <w:right w:val="none" w:sz="0" w:space="0" w:color="auto"/>
      </w:divBdr>
    </w:div>
    <w:div w:id="16800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ObXjZf-NS87rO-nTnSCeRCbd9TgiaqO3p4RPl87A3JBzsl-fFdlpp3-3wftOr6uJ03FNsDCglW4RngKuNXgOx1MzuJ2W0fvh7Vo1LHY3OgCVGdXmUmxmeiXcLS2NbaripHRY1-X5pIM=&amp;c=CPA0OWr2se1Xr9YwDB3y5-9AM_M_Rrl-QMZtLie50wtqL0AXvvW5WQ==&amp;ch=MwpCPSsGC8sYzzvVNp5CPB3L0PahEGnE0HBqW-BkK-GksRDuefzE5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ObXjZf-NS87rO-nTnSCeRCbd9TgiaqO3p4RPl87A3JBzsl-fFdlpp3-3wftOr6uJP3leUS3XNFVJiagoFCqQ37h_eYbFqw09q5loIIN4QChSC6fugsH2RJjhq_Xl_3a5NOfwG9kXxJ4=&amp;c=CPA0OWr2se1Xr9YwDB3y5-9AM_M_Rrl-QMZtLie50wtqL0AXvvW5WQ==&amp;ch=MwpCPSsGC8sYzzvVNp5CPB3L0PahEGnE0HBqW-BkK-GksRDuefzE5Q==" TargetMode="External"/><Relationship Id="rId12" Type="http://schemas.openxmlformats.org/officeDocument/2006/relationships/hyperlink" Target="https://www.fpl.com/help/dona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ObXjZf-NS87rO-nTnSCeRCbd9TgiaqO3p4RPl87A3JBzsl-fFdlpp3-3wftOr6uJVnUxBR0yOKEglOFgYMdwjVoLI1ywRPEGn6M811SHYi5cQ41bsAKSlcP_AUWWdpjSU0j9XNhqNWo=&amp;c=CPA0OWr2se1Xr9YwDB3y5-9AM_M_Rrl-QMZtLie50wtqL0AXvvW5WQ==&amp;ch=MwpCPSsGC8sYzzvVNp5CPB3L0PahEGnE0HBqW-BkK-GksRDuefzE5Q==" TargetMode="External"/><Relationship Id="rId11" Type="http://schemas.openxmlformats.org/officeDocument/2006/relationships/hyperlink" Target="http://www.FPL.com/Help" TargetMode="External"/><Relationship Id="rId5" Type="http://schemas.openxmlformats.org/officeDocument/2006/relationships/hyperlink" Target="http://r20.rs6.net/tn.jsp?f=001ObXjZf-NS87rO-nTnSCeRCbd9TgiaqO3p4RPl87A3JBzsl-fFdlpp3-3wftOr6uJTFLDdDp1WpyDznZrWPDEjPMVcf-aKdwTflb3DL-77ezerAVLZA4nFXLB_fuG9AXbh849vea0ijIW9M0Ds1tv1g==&amp;c=CPA0OWr2se1Xr9YwDB3y5-9AM_M_Rrl-QMZtLie50wtqL0AXvvW5WQ==&amp;ch=MwpCPSsGC8sYzzvVNp5CPB3L0PahEGnE0HBqW-BkK-GksRDuefzE5Q=="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r20.rs6.net/tn.jsp?f=001ObXjZf-NS87rO-nTnSCeRCbd9TgiaqO3p4RPl87A3JBzsl-fFdlpp3-3wftOr6uJeOrzWEPysUGIQloKtAcFBqfy4rN56Hwnt9UmfDTBBCOcMkI106SANy4MtusWXUjDU-XwnJKJ5F0=&amp;c=CPA0OWr2se1Xr9YwDB3y5-9AM_M_Rrl-QMZtLie50wtqL0AXvvW5WQ==&amp;ch=MwpCPSsGC8sYzzvVNp5CPB3L0PahEGnE0HBqW-BkK-GksRDuefzE5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2020-03-27T14:19:00Z</dcterms:created>
  <dcterms:modified xsi:type="dcterms:W3CDTF">2020-03-27T14:21:00Z</dcterms:modified>
</cp:coreProperties>
</file>